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C3" w:rsidRPr="00EC6B21" w:rsidRDefault="007543C3" w:rsidP="00557E49">
      <w:pPr>
        <w:pStyle w:val="Title"/>
        <w:rPr>
          <w:b/>
          <w:color w:val="C00000"/>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pPr>
      <w:r w:rsidRPr="00EC6B21">
        <w:rPr>
          <w:b/>
          <w:color w:val="C00000"/>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STANDARD 10</w:t>
      </w:r>
      <w:r w:rsidR="00EC6B21" w:rsidRPr="00EC6B21">
        <w:rPr>
          <w:b/>
          <w:color w:val="C00000"/>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w:t>
      </w:r>
      <w:r w:rsidRPr="00EC6B21">
        <w:rPr>
          <w:b/>
          <w:color w:val="C00000"/>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 xml:space="preserve"> RANGE, QUALITY, &amp; COMPLEXITY</w:t>
      </w:r>
    </w:p>
    <w:p w:rsidR="007543C3" w:rsidRPr="00EC6B21" w:rsidRDefault="007543C3" w:rsidP="00EC6B21">
      <w:pPr>
        <w:pStyle w:val="Heading1"/>
      </w:pPr>
      <w:r w:rsidRPr="00EC6B21">
        <w:t>RANGE OF TEXT TYPES</w:t>
      </w:r>
    </w:p>
    <w:p w:rsidR="007543C3" w:rsidRDefault="007543C3">
      <w:r w:rsidRPr="007543C3">
        <w:t>Students in grades 6-12 apply the Reading standards to the following range of text types, with texts selected from a broad range of cultures and periods.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2"/>
        <w:gridCol w:w="1409"/>
        <w:gridCol w:w="1936"/>
        <w:gridCol w:w="3993"/>
      </w:tblGrid>
      <w:tr w:rsidR="007543C3" w:rsidRPr="007543C3" w:rsidTr="007543C3">
        <w:trPr>
          <w:tblHeader/>
          <w:tblCellSpacing w:w="15" w:type="dxa"/>
        </w:trPr>
        <w:tc>
          <w:tcPr>
            <w:tcW w:w="0" w:type="auto"/>
            <w:gridSpan w:val="3"/>
            <w:vAlign w:val="center"/>
            <w:hideMark/>
          </w:tcPr>
          <w:p w:rsidR="007543C3" w:rsidRPr="007543C3" w:rsidRDefault="007543C3" w:rsidP="007543C3">
            <w:pPr>
              <w:rPr>
                <w:b/>
                <w:bCs/>
              </w:rPr>
            </w:pPr>
            <w:r w:rsidRPr="007543C3">
              <w:rPr>
                <w:b/>
                <w:bCs/>
              </w:rPr>
              <w:t>Literature</w:t>
            </w:r>
          </w:p>
        </w:tc>
        <w:tc>
          <w:tcPr>
            <w:tcW w:w="0" w:type="auto"/>
            <w:vAlign w:val="center"/>
            <w:hideMark/>
          </w:tcPr>
          <w:p w:rsidR="007543C3" w:rsidRPr="007543C3" w:rsidRDefault="007543C3" w:rsidP="007543C3">
            <w:pPr>
              <w:rPr>
                <w:b/>
                <w:bCs/>
              </w:rPr>
            </w:pPr>
            <w:r w:rsidRPr="007543C3">
              <w:rPr>
                <w:b/>
                <w:bCs/>
              </w:rPr>
              <w:t>Informational Text</w:t>
            </w:r>
          </w:p>
        </w:tc>
      </w:tr>
      <w:tr w:rsidR="007543C3" w:rsidRPr="007543C3" w:rsidTr="007543C3">
        <w:trPr>
          <w:tblCellSpacing w:w="15" w:type="dxa"/>
        </w:trPr>
        <w:tc>
          <w:tcPr>
            <w:tcW w:w="0" w:type="auto"/>
            <w:vAlign w:val="center"/>
            <w:hideMark/>
          </w:tcPr>
          <w:p w:rsidR="007543C3" w:rsidRPr="007543C3" w:rsidRDefault="007543C3" w:rsidP="007543C3">
            <w:pPr>
              <w:rPr>
                <w:b/>
                <w:bCs/>
              </w:rPr>
            </w:pPr>
            <w:r w:rsidRPr="007543C3">
              <w:rPr>
                <w:b/>
                <w:bCs/>
              </w:rPr>
              <w:t>Stories</w:t>
            </w:r>
          </w:p>
        </w:tc>
        <w:tc>
          <w:tcPr>
            <w:tcW w:w="0" w:type="auto"/>
            <w:vAlign w:val="center"/>
            <w:hideMark/>
          </w:tcPr>
          <w:p w:rsidR="007543C3" w:rsidRPr="007543C3" w:rsidRDefault="007543C3" w:rsidP="007543C3">
            <w:pPr>
              <w:rPr>
                <w:b/>
                <w:bCs/>
              </w:rPr>
            </w:pPr>
            <w:r w:rsidRPr="007543C3">
              <w:rPr>
                <w:b/>
                <w:bCs/>
              </w:rPr>
              <w:t>Dramas</w:t>
            </w:r>
          </w:p>
        </w:tc>
        <w:tc>
          <w:tcPr>
            <w:tcW w:w="0" w:type="auto"/>
            <w:vAlign w:val="center"/>
            <w:hideMark/>
          </w:tcPr>
          <w:p w:rsidR="007543C3" w:rsidRPr="007543C3" w:rsidRDefault="007543C3" w:rsidP="007543C3">
            <w:pPr>
              <w:rPr>
                <w:b/>
                <w:bCs/>
              </w:rPr>
            </w:pPr>
            <w:r w:rsidRPr="007543C3">
              <w:rPr>
                <w:b/>
                <w:bCs/>
              </w:rPr>
              <w:t>Poetry</w:t>
            </w:r>
          </w:p>
        </w:tc>
        <w:tc>
          <w:tcPr>
            <w:tcW w:w="0" w:type="auto"/>
            <w:vAlign w:val="center"/>
            <w:hideMark/>
          </w:tcPr>
          <w:p w:rsidR="007543C3" w:rsidRPr="007543C3" w:rsidRDefault="007543C3" w:rsidP="007543C3">
            <w:pPr>
              <w:rPr>
                <w:b/>
                <w:bCs/>
              </w:rPr>
            </w:pPr>
            <w:r w:rsidRPr="007543C3">
              <w:rPr>
                <w:b/>
                <w:bCs/>
              </w:rPr>
              <w:t>Literary Nonfiction and Historical, Scientific, and Technical Texts</w:t>
            </w:r>
          </w:p>
        </w:tc>
      </w:tr>
      <w:tr w:rsidR="007543C3" w:rsidRPr="007543C3" w:rsidTr="003F0BF7">
        <w:trPr>
          <w:tblCellSpacing w:w="15" w:type="dxa"/>
        </w:trPr>
        <w:tc>
          <w:tcPr>
            <w:tcW w:w="0" w:type="auto"/>
            <w:hideMark/>
          </w:tcPr>
          <w:p w:rsidR="007543C3" w:rsidRPr="007543C3" w:rsidRDefault="007543C3" w:rsidP="003F0BF7">
            <w:r w:rsidRPr="007543C3">
              <w:t>Includes the subgenres of adventure stories, historical fiction, mysteries, myths, science fiction, realistic fiction, allegories, parodies, satire, and graphic novels</w:t>
            </w:r>
          </w:p>
        </w:tc>
        <w:tc>
          <w:tcPr>
            <w:tcW w:w="0" w:type="auto"/>
            <w:hideMark/>
          </w:tcPr>
          <w:p w:rsidR="007543C3" w:rsidRPr="007543C3" w:rsidRDefault="007543C3" w:rsidP="003F0BF7">
            <w:r w:rsidRPr="007543C3">
              <w:t>Includes one-act and multi-act plays, both in written form and on film</w:t>
            </w:r>
          </w:p>
        </w:tc>
        <w:tc>
          <w:tcPr>
            <w:tcW w:w="0" w:type="auto"/>
            <w:hideMark/>
          </w:tcPr>
          <w:p w:rsidR="007543C3" w:rsidRPr="007543C3" w:rsidRDefault="007543C3" w:rsidP="003F0BF7">
            <w:r w:rsidRPr="007543C3">
              <w:t>Includes the subgenres of narrative poems, lyrical poems, free verse poems, sonnets, odes, ballads, and epics</w:t>
            </w:r>
          </w:p>
        </w:tc>
        <w:tc>
          <w:tcPr>
            <w:tcW w:w="0" w:type="auto"/>
            <w:hideMark/>
          </w:tcPr>
          <w:p w:rsidR="007543C3" w:rsidRPr="007543C3" w:rsidRDefault="007543C3" w:rsidP="003F0BF7">
            <w:r w:rsidRPr="007543C3">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bl>
    <w:p w:rsidR="00F2539B" w:rsidRDefault="00F2539B"/>
    <w:p w:rsidR="007543C3" w:rsidRPr="00557E49" w:rsidRDefault="00557E49" w:rsidP="00EC6B21">
      <w:pPr>
        <w:pStyle w:val="Heading1"/>
      </w:pPr>
      <w:r w:rsidRPr="007543C3">
        <w:rPr>
          <w:noProof/>
        </w:rPr>
        <w:drawing>
          <wp:anchor distT="0" distB="0" distL="114300" distR="114300" simplePos="0" relativeHeight="251658240" behindDoc="1" locked="0" layoutInCell="1" allowOverlap="1" wp14:anchorId="637FFF70" wp14:editId="40775509">
            <wp:simplePos x="0" y="0"/>
            <wp:positionH relativeFrom="margin">
              <wp:align>right</wp:align>
            </wp:positionH>
            <wp:positionV relativeFrom="page">
              <wp:posOffset>5530215</wp:posOffset>
            </wp:positionV>
            <wp:extent cx="1901952" cy="1490472"/>
            <wp:effectExtent l="0" t="0" r="3175" b="0"/>
            <wp:wrapTight wrapText="bothSides">
              <wp:wrapPolygon edited="1">
                <wp:start x="5614" y="8189"/>
                <wp:lineTo x="-2035" y="20031"/>
                <wp:lineTo x="-1965" y="21600"/>
                <wp:lineTo x="21420" y="21408"/>
                <wp:lineTo x="21600" y="18693"/>
                <wp:lineTo x="20928" y="0"/>
                <wp:lineTo x="13052" y="0"/>
                <wp:lineTo x="9263" y="0"/>
                <wp:lineTo x="5614" y="8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restandards.org/wp-content/plugins/corestandards/assets/text_complexity.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01952" cy="1490472"/>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C3" w:rsidRPr="00557E49">
        <w:t xml:space="preserve">English Language </w:t>
      </w:r>
      <w:r w:rsidR="007543C3" w:rsidRPr="00EC6B21">
        <w:t>Arts</w:t>
      </w:r>
      <w:r w:rsidR="007543C3" w:rsidRPr="00557E49">
        <w:t xml:space="preserve"> Standards » Standard 10: Range, Quality, &amp; Complexity » Measuring Text Complexity: Three Factors</w:t>
      </w:r>
    </w:p>
    <w:p w:rsidR="007543C3" w:rsidRPr="00557E49" w:rsidRDefault="007543C3" w:rsidP="00557E49">
      <w:pPr>
        <w:pStyle w:val="Heading3"/>
      </w:pPr>
      <w:r w:rsidRPr="00557E49">
        <w:t>Qualitative evaluation of the text</w:t>
      </w:r>
    </w:p>
    <w:p w:rsidR="007543C3" w:rsidRPr="00557E49" w:rsidRDefault="007543C3" w:rsidP="007543C3">
      <w:pPr>
        <w:rPr>
          <w:sz w:val="28"/>
          <w:szCs w:val="28"/>
        </w:rPr>
      </w:pPr>
      <w:r w:rsidRPr="00557E49">
        <w:rPr>
          <w:sz w:val="28"/>
          <w:szCs w:val="28"/>
        </w:rPr>
        <w:t>Levels of meaning, structure, language conventionality and clarity, and knowledge demands</w:t>
      </w:r>
    </w:p>
    <w:p w:rsidR="007543C3" w:rsidRPr="00557E49" w:rsidRDefault="007543C3" w:rsidP="00557E49">
      <w:pPr>
        <w:pStyle w:val="Heading3"/>
      </w:pPr>
      <w:r w:rsidRPr="00557E49">
        <w:t>Quantitative evaluation of the text</w:t>
      </w:r>
    </w:p>
    <w:p w:rsidR="007543C3" w:rsidRPr="00557E49" w:rsidRDefault="007543C3" w:rsidP="007543C3">
      <w:pPr>
        <w:rPr>
          <w:sz w:val="28"/>
          <w:szCs w:val="28"/>
        </w:rPr>
      </w:pPr>
      <w:r w:rsidRPr="00557E49">
        <w:rPr>
          <w:sz w:val="28"/>
          <w:szCs w:val="28"/>
        </w:rPr>
        <w:t>Readability measures and other scores of text complexity</w:t>
      </w:r>
    </w:p>
    <w:p w:rsidR="007543C3" w:rsidRPr="00557E49" w:rsidRDefault="007543C3" w:rsidP="00557E49">
      <w:pPr>
        <w:pStyle w:val="Heading3"/>
      </w:pPr>
      <w:r w:rsidRPr="00557E49">
        <w:t>Matching reader to text and task</w:t>
      </w:r>
    </w:p>
    <w:p w:rsidR="007543C3" w:rsidRPr="00557E49" w:rsidRDefault="007543C3" w:rsidP="007543C3">
      <w:pPr>
        <w:rPr>
          <w:sz w:val="28"/>
          <w:szCs w:val="28"/>
        </w:rPr>
      </w:pPr>
      <w:r w:rsidRPr="00557E49">
        <w:rPr>
          <w:sz w:val="28"/>
          <w:szCs w:val="28"/>
        </w:rPr>
        <w:t>Reader variables (such as motivation, knowledge, and experiences) and task variables (such as purpose and the complexity generated by the task assigned and the questions posed)</w:t>
      </w:r>
    </w:p>
    <w:p w:rsidR="007543C3" w:rsidRDefault="007543C3"/>
    <w:p w:rsidR="007543C3" w:rsidRPr="007543C3" w:rsidRDefault="007543C3" w:rsidP="00EC6B21">
      <w:pPr>
        <w:pStyle w:val="Heading1"/>
      </w:pPr>
      <w:r w:rsidRPr="007543C3">
        <w:lastRenderedPageBreak/>
        <w:t xml:space="preserve">English </w:t>
      </w:r>
      <w:r w:rsidRPr="00EC6B21">
        <w:t>Languag</w:t>
      </w:r>
      <w:bookmarkStart w:id="0" w:name="_GoBack"/>
      <w:bookmarkEnd w:id="0"/>
      <w:r w:rsidRPr="00EC6B21">
        <w:t>e</w:t>
      </w:r>
      <w:r w:rsidRPr="007543C3">
        <w:t xml:space="preserve"> Arts Standards » Standard 10: Range, Quality, &amp; Complexity » Texts Illustrating the Complexity, Quality, &amp; Range of Student Reading 6-12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
        <w:gridCol w:w="3684"/>
        <w:gridCol w:w="5456"/>
      </w:tblGrid>
      <w:tr w:rsidR="007543C3" w:rsidRPr="007543C3" w:rsidTr="003F0BF7">
        <w:trPr>
          <w:tblHeader/>
          <w:tblCellSpacing w:w="15" w:type="dxa"/>
        </w:trPr>
        <w:tc>
          <w:tcPr>
            <w:tcW w:w="0" w:type="auto"/>
            <w:vAlign w:val="center"/>
            <w:hideMark/>
          </w:tcPr>
          <w:p w:rsidR="007543C3" w:rsidRPr="007543C3" w:rsidRDefault="007543C3" w:rsidP="007543C3"/>
        </w:tc>
        <w:tc>
          <w:tcPr>
            <w:tcW w:w="0" w:type="auto"/>
            <w:vAlign w:val="center"/>
            <w:hideMark/>
          </w:tcPr>
          <w:p w:rsidR="007543C3" w:rsidRPr="007543C3" w:rsidRDefault="007543C3" w:rsidP="003F0BF7">
            <w:pPr>
              <w:jc w:val="center"/>
              <w:rPr>
                <w:b/>
                <w:bCs/>
              </w:rPr>
            </w:pPr>
            <w:r w:rsidRPr="007543C3">
              <w:rPr>
                <w:b/>
                <w:bCs/>
              </w:rPr>
              <w:t>Literature: Stories, Drama, Poetry</w:t>
            </w:r>
          </w:p>
        </w:tc>
        <w:tc>
          <w:tcPr>
            <w:tcW w:w="0" w:type="auto"/>
            <w:vAlign w:val="center"/>
            <w:hideMark/>
          </w:tcPr>
          <w:p w:rsidR="007543C3" w:rsidRPr="007543C3" w:rsidRDefault="007543C3" w:rsidP="003F0BF7">
            <w:pPr>
              <w:jc w:val="center"/>
              <w:rPr>
                <w:b/>
                <w:bCs/>
              </w:rPr>
            </w:pPr>
            <w:r w:rsidRPr="007543C3">
              <w:rPr>
                <w:b/>
                <w:bCs/>
              </w:rPr>
              <w:t>Informational Texts: Literary Nonfiction and Historical, Scientific, and Technical Texts</w:t>
            </w:r>
          </w:p>
        </w:tc>
      </w:tr>
      <w:tr w:rsidR="007543C3" w:rsidRPr="007543C3" w:rsidTr="003F0BF7">
        <w:trPr>
          <w:tblCellSpacing w:w="15" w:type="dxa"/>
        </w:trPr>
        <w:tc>
          <w:tcPr>
            <w:tcW w:w="0" w:type="auto"/>
            <w:vAlign w:val="center"/>
            <w:hideMark/>
          </w:tcPr>
          <w:p w:rsidR="007543C3" w:rsidRPr="007543C3" w:rsidRDefault="007543C3" w:rsidP="007543C3">
            <w:pPr>
              <w:rPr>
                <w:b/>
                <w:bCs/>
              </w:rPr>
            </w:pPr>
            <w:r w:rsidRPr="007543C3">
              <w:rPr>
                <w:b/>
                <w:bCs/>
              </w:rPr>
              <w:t>6-8</w:t>
            </w:r>
          </w:p>
        </w:tc>
        <w:tc>
          <w:tcPr>
            <w:tcW w:w="0" w:type="auto"/>
            <w:tcBorders>
              <w:top w:val="dotted" w:sz="4" w:space="0" w:color="C45911" w:themeColor="accent2" w:themeShade="BF"/>
              <w:bottom w:val="dotted" w:sz="4" w:space="0" w:color="C45911" w:themeColor="accent2" w:themeShade="BF"/>
            </w:tcBorders>
            <w:hideMark/>
          </w:tcPr>
          <w:p w:rsidR="007543C3" w:rsidRPr="003F0BF7" w:rsidRDefault="007543C3" w:rsidP="003F0BF7">
            <w:pPr>
              <w:spacing w:after="0"/>
              <w:ind w:left="360" w:hanging="360"/>
              <w:rPr>
                <w:sz w:val="22"/>
                <w:szCs w:val="22"/>
              </w:rPr>
            </w:pPr>
            <w:r w:rsidRPr="003F0BF7">
              <w:rPr>
                <w:i/>
                <w:iCs/>
                <w:sz w:val="22"/>
                <w:szCs w:val="22"/>
              </w:rPr>
              <w:t>Little Women</w:t>
            </w:r>
            <w:r w:rsidRPr="003F0BF7">
              <w:rPr>
                <w:sz w:val="22"/>
                <w:szCs w:val="22"/>
              </w:rPr>
              <w:t xml:space="preserve"> by Louisa May Alcott (1869)</w:t>
            </w:r>
          </w:p>
          <w:p w:rsidR="007543C3" w:rsidRPr="003F0BF7" w:rsidRDefault="007543C3" w:rsidP="003F0BF7">
            <w:pPr>
              <w:spacing w:after="0"/>
              <w:ind w:left="360" w:hanging="360"/>
              <w:rPr>
                <w:sz w:val="22"/>
                <w:szCs w:val="22"/>
              </w:rPr>
            </w:pPr>
            <w:r w:rsidRPr="003F0BF7">
              <w:rPr>
                <w:i/>
                <w:iCs/>
                <w:sz w:val="22"/>
                <w:szCs w:val="22"/>
              </w:rPr>
              <w:t>The Adventures of Tom Sawyer</w:t>
            </w:r>
            <w:r w:rsidRPr="003F0BF7">
              <w:rPr>
                <w:sz w:val="22"/>
                <w:szCs w:val="22"/>
              </w:rPr>
              <w:t xml:space="preserve"> by Mark Twain (1876)</w:t>
            </w:r>
          </w:p>
          <w:p w:rsidR="007543C3" w:rsidRPr="003F0BF7" w:rsidRDefault="007543C3" w:rsidP="003F0BF7">
            <w:pPr>
              <w:spacing w:after="0"/>
              <w:ind w:left="360" w:hanging="360"/>
              <w:rPr>
                <w:sz w:val="22"/>
                <w:szCs w:val="22"/>
              </w:rPr>
            </w:pPr>
            <w:r w:rsidRPr="003F0BF7">
              <w:rPr>
                <w:sz w:val="22"/>
                <w:szCs w:val="22"/>
              </w:rPr>
              <w:t>“The Road Not Taken” by Robert Frost (1915)</w:t>
            </w:r>
          </w:p>
          <w:p w:rsidR="007543C3" w:rsidRPr="003F0BF7" w:rsidRDefault="007543C3" w:rsidP="003F0BF7">
            <w:pPr>
              <w:spacing w:after="0"/>
              <w:ind w:left="360" w:hanging="360"/>
              <w:rPr>
                <w:sz w:val="22"/>
                <w:szCs w:val="22"/>
              </w:rPr>
            </w:pPr>
            <w:r w:rsidRPr="003F0BF7">
              <w:rPr>
                <w:i/>
                <w:iCs/>
                <w:sz w:val="22"/>
                <w:szCs w:val="22"/>
              </w:rPr>
              <w:t>The Dark Is Rising</w:t>
            </w:r>
            <w:r w:rsidRPr="003F0BF7">
              <w:rPr>
                <w:sz w:val="22"/>
                <w:szCs w:val="22"/>
              </w:rPr>
              <w:t xml:space="preserve"> by Susan Cooper (1973)</w:t>
            </w:r>
          </w:p>
          <w:p w:rsidR="007543C3" w:rsidRPr="003F0BF7" w:rsidRDefault="007543C3" w:rsidP="003F0BF7">
            <w:pPr>
              <w:spacing w:after="0"/>
              <w:ind w:left="360" w:hanging="360"/>
              <w:rPr>
                <w:sz w:val="22"/>
                <w:szCs w:val="22"/>
              </w:rPr>
            </w:pPr>
            <w:proofErr w:type="spellStart"/>
            <w:r w:rsidRPr="003F0BF7">
              <w:rPr>
                <w:i/>
                <w:iCs/>
                <w:sz w:val="22"/>
                <w:szCs w:val="22"/>
              </w:rPr>
              <w:t>Dragonwings</w:t>
            </w:r>
            <w:proofErr w:type="spellEnd"/>
            <w:r w:rsidRPr="003F0BF7">
              <w:rPr>
                <w:sz w:val="22"/>
                <w:szCs w:val="22"/>
              </w:rPr>
              <w:t xml:space="preserve"> by Laurence Yep (1975)</w:t>
            </w:r>
          </w:p>
          <w:p w:rsidR="007543C3" w:rsidRPr="003F0BF7" w:rsidRDefault="007543C3" w:rsidP="003F0BF7">
            <w:pPr>
              <w:spacing w:after="0"/>
              <w:ind w:left="360" w:hanging="360"/>
              <w:rPr>
                <w:sz w:val="22"/>
                <w:szCs w:val="22"/>
              </w:rPr>
            </w:pPr>
            <w:r w:rsidRPr="003F0BF7">
              <w:rPr>
                <w:i/>
                <w:iCs/>
                <w:sz w:val="22"/>
                <w:szCs w:val="22"/>
              </w:rPr>
              <w:t>Roll of Thunder</w:t>
            </w:r>
            <w:r w:rsidRPr="003F0BF7">
              <w:rPr>
                <w:sz w:val="22"/>
                <w:szCs w:val="22"/>
              </w:rPr>
              <w:t>, Hear My Cry by Mildred Taylor (1976)</w:t>
            </w:r>
          </w:p>
        </w:tc>
        <w:tc>
          <w:tcPr>
            <w:tcW w:w="0" w:type="auto"/>
            <w:tcBorders>
              <w:top w:val="dotted" w:sz="4" w:space="0" w:color="C45911" w:themeColor="accent2" w:themeShade="BF"/>
              <w:bottom w:val="dotted" w:sz="4" w:space="0" w:color="C45911" w:themeColor="accent2" w:themeShade="BF"/>
            </w:tcBorders>
            <w:hideMark/>
          </w:tcPr>
          <w:p w:rsidR="007543C3" w:rsidRPr="003F0BF7" w:rsidRDefault="007543C3" w:rsidP="003F0BF7">
            <w:pPr>
              <w:spacing w:after="0"/>
              <w:ind w:left="360" w:hanging="360"/>
              <w:rPr>
                <w:sz w:val="22"/>
                <w:szCs w:val="22"/>
              </w:rPr>
            </w:pPr>
            <w:r w:rsidRPr="003F0BF7">
              <w:rPr>
                <w:sz w:val="22"/>
                <w:szCs w:val="22"/>
              </w:rPr>
              <w:t>“Letter on Thomas Jefferson” by John Adams (1776)</w:t>
            </w:r>
          </w:p>
          <w:p w:rsidR="007543C3" w:rsidRPr="003F0BF7" w:rsidRDefault="007543C3" w:rsidP="003F0BF7">
            <w:pPr>
              <w:spacing w:after="0"/>
              <w:ind w:left="360" w:hanging="360"/>
              <w:rPr>
                <w:sz w:val="22"/>
                <w:szCs w:val="22"/>
              </w:rPr>
            </w:pPr>
            <w:r w:rsidRPr="003F0BF7">
              <w:rPr>
                <w:i/>
                <w:iCs/>
                <w:sz w:val="22"/>
                <w:szCs w:val="22"/>
              </w:rPr>
              <w:t>Narrative of the Life of Frederick Douglass, an American Slave</w:t>
            </w:r>
            <w:r w:rsidRPr="003F0BF7">
              <w:rPr>
                <w:sz w:val="22"/>
                <w:szCs w:val="22"/>
              </w:rPr>
              <w:t xml:space="preserve"> by Frederick Douglass (1845)</w:t>
            </w:r>
          </w:p>
          <w:p w:rsidR="007543C3" w:rsidRPr="003F0BF7" w:rsidRDefault="007543C3" w:rsidP="003F0BF7">
            <w:pPr>
              <w:spacing w:after="0"/>
              <w:ind w:left="360" w:hanging="360"/>
              <w:rPr>
                <w:sz w:val="22"/>
                <w:szCs w:val="22"/>
              </w:rPr>
            </w:pPr>
            <w:r w:rsidRPr="003F0BF7">
              <w:rPr>
                <w:sz w:val="22"/>
                <w:szCs w:val="22"/>
              </w:rPr>
              <w:t>“Blood, Toil, Tears and Sweat: Address to Parliament on May 13th, 1940” by Winston Churchill (1940)</w:t>
            </w:r>
          </w:p>
          <w:p w:rsidR="007543C3" w:rsidRPr="003F0BF7" w:rsidRDefault="007543C3" w:rsidP="003F0BF7">
            <w:pPr>
              <w:spacing w:after="0"/>
              <w:ind w:left="360" w:hanging="360"/>
              <w:rPr>
                <w:sz w:val="22"/>
                <w:szCs w:val="22"/>
              </w:rPr>
            </w:pPr>
            <w:r w:rsidRPr="003F0BF7">
              <w:rPr>
                <w:i/>
                <w:iCs/>
                <w:sz w:val="22"/>
                <w:szCs w:val="22"/>
              </w:rPr>
              <w:t>Harriet Tubman: Conductor on the Underground Railroad</w:t>
            </w:r>
            <w:r w:rsidRPr="003F0BF7">
              <w:rPr>
                <w:sz w:val="22"/>
                <w:szCs w:val="22"/>
              </w:rPr>
              <w:t xml:space="preserve"> by Ann </w:t>
            </w:r>
            <w:proofErr w:type="spellStart"/>
            <w:r w:rsidRPr="003F0BF7">
              <w:rPr>
                <w:sz w:val="22"/>
                <w:szCs w:val="22"/>
              </w:rPr>
              <w:t>Petry</w:t>
            </w:r>
            <w:proofErr w:type="spellEnd"/>
            <w:r w:rsidRPr="003F0BF7">
              <w:rPr>
                <w:sz w:val="22"/>
                <w:szCs w:val="22"/>
              </w:rPr>
              <w:t xml:space="preserve"> (1955)</w:t>
            </w:r>
          </w:p>
          <w:p w:rsidR="007543C3" w:rsidRPr="003F0BF7" w:rsidRDefault="007543C3" w:rsidP="003F0BF7">
            <w:pPr>
              <w:spacing w:after="0"/>
              <w:ind w:left="360" w:hanging="360"/>
              <w:rPr>
                <w:sz w:val="22"/>
                <w:szCs w:val="22"/>
              </w:rPr>
            </w:pPr>
            <w:r w:rsidRPr="003F0BF7">
              <w:rPr>
                <w:i/>
                <w:iCs/>
                <w:sz w:val="22"/>
                <w:szCs w:val="22"/>
              </w:rPr>
              <w:t>Travels with Charley: In Search of America</w:t>
            </w:r>
            <w:r w:rsidRPr="003F0BF7">
              <w:rPr>
                <w:sz w:val="22"/>
                <w:szCs w:val="22"/>
              </w:rPr>
              <w:t xml:space="preserve"> by John Steinbeck (1962)</w:t>
            </w:r>
          </w:p>
        </w:tc>
      </w:tr>
      <w:tr w:rsidR="007543C3" w:rsidRPr="007543C3" w:rsidTr="003F0BF7">
        <w:trPr>
          <w:tblCellSpacing w:w="15" w:type="dxa"/>
        </w:trPr>
        <w:tc>
          <w:tcPr>
            <w:tcW w:w="0" w:type="auto"/>
            <w:vAlign w:val="center"/>
            <w:hideMark/>
          </w:tcPr>
          <w:p w:rsidR="007543C3" w:rsidRPr="007543C3" w:rsidRDefault="007543C3" w:rsidP="007543C3">
            <w:pPr>
              <w:rPr>
                <w:b/>
                <w:bCs/>
              </w:rPr>
            </w:pPr>
            <w:r w:rsidRPr="007543C3">
              <w:rPr>
                <w:b/>
                <w:bCs/>
              </w:rPr>
              <w:t>9-10</w:t>
            </w:r>
          </w:p>
        </w:tc>
        <w:tc>
          <w:tcPr>
            <w:tcW w:w="0" w:type="auto"/>
            <w:tcBorders>
              <w:top w:val="dotted" w:sz="4" w:space="0" w:color="C45911" w:themeColor="accent2" w:themeShade="BF"/>
              <w:bottom w:val="dotted" w:sz="4" w:space="0" w:color="C45911" w:themeColor="accent2" w:themeShade="BF"/>
            </w:tcBorders>
            <w:hideMark/>
          </w:tcPr>
          <w:p w:rsidR="007543C3" w:rsidRPr="003F0BF7" w:rsidRDefault="007543C3" w:rsidP="003F0BF7">
            <w:pPr>
              <w:spacing w:after="0"/>
              <w:ind w:left="360" w:hanging="360"/>
              <w:rPr>
                <w:sz w:val="22"/>
                <w:szCs w:val="22"/>
              </w:rPr>
            </w:pPr>
            <w:r w:rsidRPr="003F0BF7">
              <w:rPr>
                <w:i/>
                <w:iCs/>
                <w:sz w:val="22"/>
                <w:szCs w:val="22"/>
              </w:rPr>
              <w:t>The Tragedy of Macbeth</w:t>
            </w:r>
            <w:r w:rsidRPr="003F0BF7">
              <w:rPr>
                <w:sz w:val="22"/>
                <w:szCs w:val="22"/>
              </w:rPr>
              <w:t xml:space="preserve"> by William Shakespeare (1592)</w:t>
            </w:r>
          </w:p>
          <w:p w:rsidR="007543C3" w:rsidRPr="003F0BF7" w:rsidRDefault="007543C3" w:rsidP="003F0BF7">
            <w:pPr>
              <w:spacing w:after="0"/>
              <w:ind w:left="360" w:hanging="360"/>
              <w:rPr>
                <w:sz w:val="22"/>
                <w:szCs w:val="22"/>
              </w:rPr>
            </w:pPr>
            <w:r w:rsidRPr="003F0BF7">
              <w:rPr>
                <w:sz w:val="22"/>
                <w:szCs w:val="22"/>
              </w:rPr>
              <w:t>“Ozymandias” by Percy Bysshe Shelley (1817)</w:t>
            </w:r>
          </w:p>
          <w:p w:rsidR="007543C3" w:rsidRPr="003F0BF7" w:rsidRDefault="007543C3" w:rsidP="003F0BF7">
            <w:pPr>
              <w:spacing w:after="0"/>
              <w:ind w:left="360" w:hanging="360"/>
              <w:rPr>
                <w:sz w:val="22"/>
                <w:szCs w:val="22"/>
              </w:rPr>
            </w:pPr>
            <w:r w:rsidRPr="003F0BF7">
              <w:rPr>
                <w:sz w:val="22"/>
                <w:szCs w:val="22"/>
              </w:rPr>
              <w:t>“The Raven” by Edgar Allen Poe (1845)</w:t>
            </w:r>
          </w:p>
          <w:p w:rsidR="007543C3" w:rsidRPr="003F0BF7" w:rsidRDefault="007543C3" w:rsidP="003F0BF7">
            <w:pPr>
              <w:spacing w:after="0"/>
              <w:ind w:left="360" w:hanging="360"/>
              <w:rPr>
                <w:sz w:val="22"/>
                <w:szCs w:val="22"/>
              </w:rPr>
            </w:pPr>
            <w:r w:rsidRPr="003F0BF7">
              <w:rPr>
                <w:sz w:val="22"/>
                <w:szCs w:val="22"/>
              </w:rPr>
              <w:t>“The Gift of the Magi” by O. Henry (1906)</w:t>
            </w:r>
          </w:p>
          <w:p w:rsidR="007543C3" w:rsidRPr="003F0BF7" w:rsidRDefault="007543C3" w:rsidP="003F0BF7">
            <w:pPr>
              <w:spacing w:after="0"/>
              <w:ind w:left="360" w:hanging="360"/>
              <w:rPr>
                <w:sz w:val="22"/>
                <w:szCs w:val="22"/>
              </w:rPr>
            </w:pPr>
            <w:r w:rsidRPr="003F0BF7">
              <w:rPr>
                <w:i/>
                <w:iCs/>
                <w:sz w:val="22"/>
                <w:szCs w:val="22"/>
              </w:rPr>
              <w:t>The Grapes of Wrath</w:t>
            </w:r>
            <w:r w:rsidRPr="003F0BF7">
              <w:rPr>
                <w:sz w:val="22"/>
                <w:szCs w:val="22"/>
              </w:rPr>
              <w:t xml:space="preserve"> by John Steinbeck (1939)</w:t>
            </w:r>
          </w:p>
          <w:p w:rsidR="007543C3" w:rsidRPr="003F0BF7" w:rsidRDefault="007543C3" w:rsidP="003F0BF7">
            <w:pPr>
              <w:spacing w:after="0"/>
              <w:ind w:left="360" w:hanging="360"/>
              <w:rPr>
                <w:sz w:val="22"/>
                <w:szCs w:val="22"/>
              </w:rPr>
            </w:pPr>
            <w:r w:rsidRPr="003F0BF7">
              <w:rPr>
                <w:i/>
                <w:iCs/>
                <w:sz w:val="22"/>
                <w:szCs w:val="22"/>
              </w:rPr>
              <w:t>Fahrenheit 451</w:t>
            </w:r>
            <w:r w:rsidRPr="003F0BF7">
              <w:rPr>
                <w:sz w:val="22"/>
                <w:szCs w:val="22"/>
              </w:rPr>
              <w:t xml:space="preserve"> by Ray Bradbury (1953)</w:t>
            </w:r>
          </w:p>
          <w:p w:rsidR="007543C3" w:rsidRPr="003F0BF7" w:rsidRDefault="007543C3" w:rsidP="003F0BF7">
            <w:pPr>
              <w:spacing w:after="0"/>
              <w:ind w:left="360" w:hanging="360"/>
              <w:rPr>
                <w:sz w:val="22"/>
                <w:szCs w:val="22"/>
              </w:rPr>
            </w:pPr>
            <w:r w:rsidRPr="003F0BF7">
              <w:rPr>
                <w:i/>
                <w:iCs/>
                <w:sz w:val="22"/>
                <w:szCs w:val="22"/>
              </w:rPr>
              <w:t>The Killer Angels</w:t>
            </w:r>
            <w:r w:rsidRPr="003F0BF7">
              <w:rPr>
                <w:sz w:val="22"/>
                <w:szCs w:val="22"/>
              </w:rPr>
              <w:t xml:space="preserve"> by Michael </w:t>
            </w:r>
            <w:proofErr w:type="spellStart"/>
            <w:r w:rsidRPr="003F0BF7">
              <w:rPr>
                <w:sz w:val="22"/>
                <w:szCs w:val="22"/>
              </w:rPr>
              <w:t>Shaara</w:t>
            </w:r>
            <w:proofErr w:type="spellEnd"/>
            <w:r w:rsidRPr="003F0BF7">
              <w:rPr>
                <w:sz w:val="22"/>
                <w:szCs w:val="22"/>
              </w:rPr>
              <w:t xml:space="preserve"> (1975)</w:t>
            </w:r>
          </w:p>
        </w:tc>
        <w:tc>
          <w:tcPr>
            <w:tcW w:w="0" w:type="auto"/>
            <w:tcBorders>
              <w:top w:val="dotted" w:sz="4" w:space="0" w:color="C45911" w:themeColor="accent2" w:themeShade="BF"/>
              <w:bottom w:val="dotted" w:sz="4" w:space="0" w:color="C45911" w:themeColor="accent2" w:themeShade="BF"/>
            </w:tcBorders>
            <w:hideMark/>
          </w:tcPr>
          <w:p w:rsidR="007543C3" w:rsidRPr="003F0BF7" w:rsidRDefault="007543C3" w:rsidP="003F0BF7">
            <w:pPr>
              <w:spacing w:after="0"/>
              <w:ind w:left="360" w:hanging="360"/>
              <w:rPr>
                <w:sz w:val="22"/>
                <w:szCs w:val="22"/>
              </w:rPr>
            </w:pPr>
            <w:r w:rsidRPr="003F0BF7">
              <w:rPr>
                <w:sz w:val="22"/>
                <w:szCs w:val="22"/>
              </w:rPr>
              <w:t>“Speech to the Second Virginia Convention” by Patrick Henry (1775)</w:t>
            </w:r>
          </w:p>
          <w:p w:rsidR="007543C3" w:rsidRPr="003F0BF7" w:rsidRDefault="007543C3" w:rsidP="003F0BF7">
            <w:pPr>
              <w:spacing w:after="0"/>
              <w:ind w:left="360" w:hanging="360"/>
              <w:rPr>
                <w:sz w:val="22"/>
                <w:szCs w:val="22"/>
              </w:rPr>
            </w:pPr>
            <w:r w:rsidRPr="003F0BF7">
              <w:rPr>
                <w:sz w:val="22"/>
                <w:szCs w:val="22"/>
              </w:rPr>
              <w:t>“Farewell Address” by George Washington (1796)</w:t>
            </w:r>
          </w:p>
          <w:p w:rsidR="007543C3" w:rsidRPr="003F0BF7" w:rsidRDefault="007543C3" w:rsidP="003F0BF7">
            <w:pPr>
              <w:spacing w:after="0"/>
              <w:ind w:left="360" w:hanging="360"/>
              <w:rPr>
                <w:sz w:val="22"/>
                <w:szCs w:val="22"/>
              </w:rPr>
            </w:pPr>
            <w:r w:rsidRPr="003F0BF7">
              <w:rPr>
                <w:sz w:val="22"/>
                <w:szCs w:val="22"/>
              </w:rPr>
              <w:t>“Gettysburg Address” by Abraham Lincoln (1863)</w:t>
            </w:r>
          </w:p>
          <w:p w:rsidR="007543C3" w:rsidRPr="003F0BF7" w:rsidRDefault="007543C3" w:rsidP="003F0BF7">
            <w:pPr>
              <w:spacing w:after="0"/>
              <w:ind w:left="360" w:hanging="360"/>
              <w:rPr>
                <w:sz w:val="22"/>
                <w:szCs w:val="22"/>
              </w:rPr>
            </w:pPr>
            <w:r w:rsidRPr="003F0BF7">
              <w:rPr>
                <w:sz w:val="22"/>
                <w:szCs w:val="22"/>
              </w:rPr>
              <w:t>“State of the Union Address” by Franklin Delano Roosevelt (1941)</w:t>
            </w:r>
          </w:p>
          <w:p w:rsidR="007543C3" w:rsidRPr="003F0BF7" w:rsidRDefault="007543C3" w:rsidP="003F0BF7">
            <w:pPr>
              <w:spacing w:after="0"/>
              <w:ind w:left="360" w:hanging="360"/>
              <w:rPr>
                <w:sz w:val="22"/>
                <w:szCs w:val="22"/>
              </w:rPr>
            </w:pPr>
            <w:r w:rsidRPr="003F0BF7">
              <w:rPr>
                <w:sz w:val="22"/>
                <w:szCs w:val="22"/>
              </w:rPr>
              <w:t>“Letter from Birmingham Jail” by Martin Luther King, Jr. (1964)</w:t>
            </w:r>
          </w:p>
          <w:p w:rsidR="007543C3" w:rsidRPr="003F0BF7" w:rsidRDefault="007543C3" w:rsidP="003F0BF7">
            <w:pPr>
              <w:spacing w:after="0"/>
              <w:ind w:left="360" w:hanging="360"/>
              <w:rPr>
                <w:sz w:val="22"/>
                <w:szCs w:val="22"/>
              </w:rPr>
            </w:pPr>
            <w:r w:rsidRPr="003F0BF7">
              <w:rPr>
                <w:sz w:val="22"/>
                <w:szCs w:val="22"/>
              </w:rPr>
              <w:t xml:space="preserve">“Hope, Despair and Memory” by </w:t>
            </w:r>
            <w:proofErr w:type="spellStart"/>
            <w:r w:rsidRPr="003F0BF7">
              <w:rPr>
                <w:sz w:val="22"/>
                <w:szCs w:val="22"/>
              </w:rPr>
              <w:t>Elie</w:t>
            </w:r>
            <w:proofErr w:type="spellEnd"/>
            <w:r w:rsidRPr="003F0BF7">
              <w:rPr>
                <w:sz w:val="22"/>
                <w:szCs w:val="22"/>
              </w:rPr>
              <w:t xml:space="preserve"> Wiesel (1997)</w:t>
            </w:r>
          </w:p>
        </w:tc>
      </w:tr>
      <w:tr w:rsidR="007543C3" w:rsidRPr="003F0BF7" w:rsidTr="003F0BF7">
        <w:trPr>
          <w:tblCellSpacing w:w="15" w:type="dxa"/>
        </w:trPr>
        <w:tc>
          <w:tcPr>
            <w:tcW w:w="0" w:type="auto"/>
            <w:vAlign w:val="center"/>
            <w:hideMark/>
          </w:tcPr>
          <w:p w:rsidR="007543C3" w:rsidRPr="003F0BF7" w:rsidRDefault="007543C3" w:rsidP="003F0BF7">
            <w:pPr>
              <w:spacing w:afterLines="60" w:after="144"/>
              <w:rPr>
                <w:b/>
                <w:bCs/>
                <w:sz w:val="22"/>
                <w:szCs w:val="22"/>
              </w:rPr>
            </w:pPr>
            <w:r w:rsidRPr="003F0BF7">
              <w:rPr>
                <w:b/>
                <w:bCs/>
                <w:sz w:val="22"/>
                <w:szCs w:val="22"/>
              </w:rPr>
              <w:t>11-CCR</w:t>
            </w:r>
          </w:p>
        </w:tc>
        <w:tc>
          <w:tcPr>
            <w:tcW w:w="0" w:type="auto"/>
            <w:hideMark/>
          </w:tcPr>
          <w:p w:rsidR="007543C3" w:rsidRPr="003F0BF7" w:rsidRDefault="007543C3" w:rsidP="003F0BF7">
            <w:pPr>
              <w:spacing w:after="0"/>
              <w:ind w:left="360" w:hanging="360"/>
              <w:rPr>
                <w:sz w:val="22"/>
                <w:szCs w:val="22"/>
              </w:rPr>
            </w:pPr>
            <w:r w:rsidRPr="003F0BF7">
              <w:rPr>
                <w:sz w:val="22"/>
                <w:szCs w:val="22"/>
              </w:rPr>
              <w:t>“Ode on a Grecian Urn” by John Keats (1820)</w:t>
            </w:r>
          </w:p>
          <w:p w:rsidR="007543C3" w:rsidRPr="003F0BF7" w:rsidRDefault="007543C3" w:rsidP="003F0BF7">
            <w:pPr>
              <w:spacing w:after="0"/>
              <w:ind w:left="360" w:hanging="360"/>
              <w:rPr>
                <w:sz w:val="22"/>
                <w:szCs w:val="22"/>
              </w:rPr>
            </w:pPr>
            <w:r w:rsidRPr="003F0BF7">
              <w:rPr>
                <w:i/>
                <w:iCs/>
                <w:sz w:val="22"/>
                <w:szCs w:val="22"/>
              </w:rPr>
              <w:t>Jane Eyre</w:t>
            </w:r>
            <w:r w:rsidRPr="003F0BF7">
              <w:rPr>
                <w:sz w:val="22"/>
                <w:szCs w:val="22"/>
              </w:rPr>
              <w:t xml:space="preserve"> by Charlotte Brontë (1848)</w:t>
            </w:r>
          </w:p>
          <w:p w:rsidR="007543C3" w:rsidRPr="003F0BF7" w:rsidRDefault="007543C3" w:rsidP="003F0BF7">
            <w:pPr>
              <w:spacing w:after="0"/>
              <w:ind w:left="360" w:hanging="360"/>
              <w:rPr>
                <w:sz w:val="22"/>
                <w:szCs w:val="22"/>
              </w:rPr>
            </w:pPr>
            <w:r w:rsidRPr="003F0BF7">
              <w:rPr>
                <w:sz w:val="22"/>
                <w:szCs w:val="22"/>
              </w:rPr>
              <w:t>“Because I Could Not Stop for Death” by Emily Dickinson (1890)</w:t>
            </w:r>
          </w:p>
          <w:p w:rsidR="007543C3" w:rsidRPr="003F0BF7" w:rsidRDefault="007543C3" w:rsidP="003F0BF7">
            <w:pPr>
              <w:spacing w:after="0"/>
              <w:ind w:left="360" w:hanging="360"/>
              <w:rPr>
                <w:sz w:val="22"/>
                <w:szCs w:val="22"/>
              </w:rPr>
            </w:pPr>
            <w:r w:rsidRPr="003F0BF7">
              <w:rPr>
                <w:i/>
                <w:iCs/>
                <w:sz w:val="22"/>
                <w:szCs w:val="22"/>
              </w:rPr>
              <w:t>The Great Gatsby</w:t>
            </w:r>
            <w:r w:rsidRPr="003F0BF7">
              <w:rPr>
                <w:sz w:val="22"/>
                <w:szCs w:val="22"/>
              </w:rPr>
              <w:t xml:space="preserve"> by F. Scott Fitzgerald (1925)</w:t>
            </w:r>
          </w:p>
          <w:p w:rsidR="007543C3" w:rsidRPr="003F0BF7" w:rsidRDefault="007543C3" w:rsidP="003F0BF7">
            <w:pPr>
              <w:spacing w:after="0"/>
              <w:ind w:left="360" w:hanging="360"/>
              <w:rPr>
                <w:sz w:val="22"/>
                <w:szCs w:val="22"/>
              </w:rPr>
            </w:pPr>
            <w:r w:rsidRPr="003F0BF7">
              <w:rPr>
                <w:i/>
                <w:iCs/>
                <w:sz w:val="22"/>
                <w:szCs w:val="22"/>
              </w:rPr>
              <w:t>Their Eyes Were Watching God</w:t>
            </w:r>
            <w:r w:rsidRPr="003F0BF7">
              <w:rPr>
                <w:sz w:val="22"/>
                <w:szCs w:val="22"/>
              </w:rPr>
              <w:t xml:space="preserve"> by Zora Neale Hurston (1937)</w:t>
            </w:r>
          </w:p>
          <w:p w:rsidR="007543C3" w:rsidRPr="003F0BF7" w:rsidRDefault="007543C3" w:rsidP="003F0BF7">
            <w:pPr>
              <w:spacing w:after="0"/>
              <w:ind w:left="360" w:hanging="360"/>
              <w:rPr>
                <w:sz w:val="22"/>
                <w:szCs w:val="22"/>
              </w:rPr>
            </w:pPr>
            <w:r w:rsidRPr="003F0BF7">
              <w:rPr>
                <w:i/>
                <w:iCs/>
                <w:sz w:val="22"/>
                <w:szCs w:val="22"/>
              </w:rPr>
              <w:t>A Raisin in the Sun</w:t>
            </w:r>
            <w:r w:rsidRPr="003F0BF7">
              <w:rPr>
                <w:sz w:val="22"/>
                <w:szCs w:val="22"/>
              </w:rPr>
              <w:t xml:space="preserve"> by Lorraine Hansberry (1959)</w:t>
            </w:r>
          </w:p>
          <w:p w:rsidR="007543C3" w:rsidRPr="003F0BF7" w:rsidRDefault="007543C3" w:rsidP="003F0BF7">
            <w:pPr>
              <w:spacing w:after="0"/>
              <w:ind w:left="360" w:hanging="360"/>
              <w:rPr>
                <w:sz w:val="22"/>
                <w:szCs w:val="22"/>
              </w:rPr>
            </w:pPr>
            <w:r w:rsidRPr="003F0BF7">
              <w:rPr>
                <w:i/>
                <w:iCs/>
                <w:sz w:val="22"/>
                <w:szCs w:val="22"/>
              </w:rPr>
              <w:t>The Namesake</w:t>
            </w:r>
            <w:r w:rsidRPr="003F0BF7">
              <w:rPr>
                <w:sz w:val="22"/>
                <w:szCs w:val="22"/>
              </w:rPr>
              <w:t xml:space="preserve"> by </w:t>
            </w:r>
            <w:proofErr w:type="spellStart"/>
            <w:r w:rsidRPr="003F0BF7">
              <w:rPr>
                <w:sz w:val="22"/>
                <w:szCs w:val="22"/>
              </w:rPr>
              <w:t>Jhumpa</w:t>
            </w:r>
            <w:proofErr w:type="spellEnd"/>
            <w:r w:rsidRPr="003F0BF7">
              <w:rPr>
                <w:sz w:val="22"/>
                <w:szCs w:val="22"/>
              </w:rPr>
              <w:t xml:space="preserve"> </w:t>
            </w:r>
            <w:proofErr w:type="spellStart"/>
            <w:r w:rsidRPr="003F0BF7">
              <w:rPr>
                <w:sz w:val="22"/>
                <w:szCs w:val="22"/>
              </w:rPr>
              <w:t>Lahiri</w:t>
            </w:r>
            <w:proofErr w:type="spellEnd"/>
            <w:r w:rsidRPr="003F0BF7">
              <w:rPr>
                <w:sz w:val="22"/>
                <w:szCs w:val="22"/>
              </w:rPr>
              <w:t xml:space="preserve"> (2003)</w:t>
            </w:r>
          </w:p>
        </w:tc>
        <w:tc>
          <w:tcPr>
            <w:tcW w:w="0" w:type="auto"/>
            <w:hideMark/>
          </w:tcPr>
          <w:p w:rsidR="007543C3" w:rsidRPr="003F0BF7" w:rsidRDefault="007543C3" w:rsidP="003F0BF7">
            <w:pPr>
              <w:spacing w:after="0"/>
              <w:ind w:left="360" w:hanging="360"/>
              <w:rPr>
                <w:sz w:val="22"/>
                <w:szCs w:val="22"/>
              </w:rPr>
            </w:pPr>
            <w:r w:rsidRPr="003F0BF7">
              <w:rPr>
                <w:i/>
                <w:iCs/>
                <w:sz w:val="22"/>
                <w:szCs w:val="22"/>
              </w:rPr>
              <w:t>Common Sense</w:t>
            </w:r>
            <w:r w:rsidRPr="003F0BF7">
              <w:rPr>
                <w:sz w:val="22"/>
                <w:szCs w:val="22"/>
              </w:rPr>
              <w:t xml:space="preserve"> by Thomas Paine (1776)</w:t>
            </w:r>
          </w:p>
          <w:p w:rsidR="007543C3" w:rsidRPr="003F0BF7" w:rsidRDefault="007543C3" w:rsidP="003F0BF7">
            <w:pPr>
              <w:spacing w:after="0"/>
              <w:ind w:left="360" w:hanging="360"/>
              <w:rPr>
                <w:sz w:val="22"/>
                <w:szCs w:val="22"/>
              </w:rPr>
            </w:pPr>
            <w:r w:rsidRPr="003F0BF7">
              <w:rPr>
                <w:i/>
                <w:iCs/>
                <w:sz w:val="22"/>
                <w:szCs w:val="22"/>
              </w:rPr>
              <w:t>Walden</w:t>
            </w:r>
            <w:r w:rsidRPr="003F0BF7">
              <w:rPr>
                <w:sz w:val="22"/>
                <w:szCs w:val="22"/>
              </w:rPr>
              <w:t xml:space="preserve"> by Henry David Thoreau (1854)</w:t>
            </w:r>
          </w:p>
          <w:p w:rsidR="007543C3" w:rsidRPr="003F0BF7" w:rsidRDefault="007543C3" w:rsidP="003F0BF7">
            <w:pPr>
              <w:spacing w:after="0"/>
              <w:ind w:left="360" w:hanging="360"/>
              <w:rPr>
                <w:sz w:val="22"/>
                <w:szCs w:val="22"/>
              </w:rPr>
            </w:pPr>
            <w:r w:rsidRPr="003F0BF7">
              <w:rPr>
                <w:sz w:val="22"/>
                <w:szCs w:val="22"/>
              </w:rPr>
              <w:t>“Society and Solitude” by Ralph Waldo Emerson (1857)</w:t>
            </w:r>
          </w:p>
          <w:p w:rsidR="007543C3" w:rsidRPr="003F0BF7" w:rsidRDefault="007543C3" w:rsidP="003F0BF7">
            <w:pPr>
              <w:spacing w:after="0"/>
              <w:ind w:left="360" w:hanging="360"/>
              <w:rPr>
                <w:sz w:val="22"/>
                <w:szCs w:val="22"/>
              </w:rPr>
            </w:pPr>
            <w:r w:rsidRPr="003F0BF7">
              <w:rPr>
                <w:sz w:val="22"/>
                <w:szCs w:val="22"/>
              </w:rPr>
              <w:t>“The Fallacy of Success” by G. K. Chesterton (1909)</w:t>
            </w:r>
          </w:p>
          <w:p w:rsidR="007543C3" w:rsidRPr="003F0BF7" w:rsidRDefault="007543C3" w:rsidP="003F0BF7">
            <w:pPr>
              <w:spacing w:after="0"/>
              <w:ind w:left="360" w:hanging="360"/>
              <w:rPr>
                <w:sz w:val="22"/>
                <w:szCs w:val="22"/>
              </w:rPr>
            </w:pPr>
            <w:r w:rsidRPr="003F0BF7">
              <w:rPr>
                <w:i/>
                <w:iCs/>
                <w:sz w:val="22"/>
                <w:szCs w:val="22"/>
              </w:rPr>
              <w:t>Black Boy</w:t>
            </w:r>
            <w:r w:rsidRPr="003F0BF7">
              <w:rPr>
                <w:sz w:val="22"/>
                <w:szCs w:val="22"/>
              </w:rPr>
              <w:t xml:space="preserve"> by Richard Wright (1945)</w:t>
            </w:r>
          </w:p>
          <w:p w:rsidR="007543C3" w:rsidRPr="003F0BF7" w:rsidRDefault="007543C3" w:rsidP="003F0BF7">
            <w:pPr>
              <w:spacing w:after="0"/>
              <w:ind w:left="360" w:hanging="360"/>
              <w:rPr>
                <w:sz w:val="22"/>
                <w:szCs w:val="22"/>
              </w:rPr>
            </w:pPr>
            <w:r w:rsidRPr="003F0BF7">
              <w:rPr>
                <w:sz w:val="22"/>
                <w:szCs w:val="22"/>
              </w:rPr>
              <w:t>“Politics and the English Language” by George Orwell (1946)</w:t>
            </w:r>
          </w:p>
          <w:p w:rsidR="007543C3" w:rsidRPr="003F0BF7" w:rsidRDefault="007543C3" w:rsidP="003F0BF7">
            <w:pPr>
              <w:spacing w:after="0"/>
              <w:ind w:left="360" w:hanging="360"/>
              <w:rPr>
                <w:sz w:val="22"/>
                <w:szCs w:val="22"/>
              </w:rPr>
            </w:pPr>
            <w:r w:rsidRPr="003F0BF7">
              <w:rPr>
                <w:sz w:val="22"/>
                <w:szCs w:val="22"/>
              </w:rPr>
              <w:t xml:space="preserve">“Take the Tortillas Out of Your Poetry” by </w:t>
            </w:r>
            <w:proofErr w:type="spellStart"/>
            <w:r w:rsidRPr="003F0BF7">
              <w:rPr>
                <w:sz w:val="22"/>
                <w:szCs w:val="22"/>
              </w:rPr>
              <w:t>Rudolfo</w:t>
            </w:r>
            <w:proofErr w:type="spellEnd"/>
            <w:r w:rsidRPr="003F0BF7">
              <w:rPr>
                <w:sz w:val="22"/>
                <w:szCs w:val="22"/>
              </w:rPr>
              <w:t xml:space="preserve"> Anaya (1995)</w:t>
            </w:r>
          </w:p>
        </w:tc>
      </w:tr>
    </w:tbl>
    <w:p w:rsidR="007543C3" w:rsidRPr="007543C3" w:rsidRDefault="007543C3" w:rsidP="007543C3">
      <w:pPr>
        <w:rPr>
          <w:b/>
          <w:bCs/>
        </w:rPr>
      </w:pPr>
      <w:r w:rsidRPr="007543C3">
        <w:rPr>
          <w:b/>
          <w:bCs/>
        </w:rPr>
        <w:t>Note:</w:t>
      </w:r>
    </w:p>
    <w:p w:rsidR="007543C3" w:rsidRPr="00EC6B21" w:rsidRDefault="007543C3" w:rsidP="00EC6B21">
      <w:pPr>
        <w:spacing w:after="0"/>
        <w:rPr>
          <w:rFonts w:ascii="Cambria" w:hAnsi="Cambria"/>
          <w:i/>
          <w:sz w:val="20"/>
        </w:rPr>
      </w:pPr>
      <w:r w:rsidRPr="00EC6B21">
        <w:rPr>
          <w:rFonts w:ascii="Cambria" w:hAnsi="Cambria"/>
          <w:i/>
          <w:sz w:val="20"/>
        </w:rPr>
        <w:t>Given space limitations, the illustrative texts listed above are meant only to show individual titles that are representative of a range of topics and genres</w:t>
      </w:r>
    </w:p>
    <w:sectPr w:rsidR="007543C3" w:rsidRPr="00EC6B21" w:rsidSect="00EC6B21">
      <w:pgSz w:w="12240" w:h="15840"/>
      <w:pgMar w:top="108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A4B"/>
    <w:multiLevelType w:val="multilevel"/>
    <w:tmpl w:val="B47E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0188"/>
    <w:multiLevelType w:val="multilevel"/>
    <w:tmpl w:val="C12C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F374C"/>
    <w:multiLevelType w:val="hybridMultilevel"/>
    <w:tmpl w:val="5BE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37FBB"/>
    <w:multiLevelType w:val="multilevel"/>
    <w:tmpl w:val="08D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84081"/>
    <w:multiLevelType w:val="multilevel"/>
    <w:tmpl w:val="BC4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76C6E"/>
    <w:multiLevelType w:val="multilevel"/>
    <w:tmpl w:val="0D4A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009B9"/>
    <w:multiLevelType w:val="multilevel"/>
    <w:tmpl w:val="6834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C3"/>
    <w:rsid w:val="003F0BF7"/>
    <w:rsid w:val="00557E49"/>
    <w:rsid w:val="00643AE6"/>
    <w:rsid w:val="007543C3"/>
    <w:rsid w:val="009644F9"/>
    <w:rsid w:val="00A32FDE"/>
    <w:rsid w:val="00B25165"/>
    <w:rsid w:val="00C844BC"/>
    <w:rsid w:val="00D50AD7"/>
    <w:rsid w:val="00EC6B21"/>
    <w:rsid w:val="00ED32F7"/>
    <w:rsid w:val="00F2539B"/>
    <w:rsid w:val="00F6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D5B9"/>
  <w15:chartTrackingRefBased/>
  <w15:docId w15:val="{E95CF707-1001-49B0-A920-12941B97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44F9"/>
    <w:pPr>
      <w:spacing w:after="120" w:line="252" w:lineRule="auto"/>
    </w:pPr>
    <w:rPr>
      <w:rFonts w:ascii="Calibri" w:hAnsi="Calibri" w:cs="Times New Roman"/>
      <w:color w:val="000000"/>
      <w:kern w:val="28"/>
      <w:sz w:val="24"/>
      <w:szCs w:val="20"/>
      <w14:ligatures w14:val="standard"/>
      <w14:cntxtAlts/>
    </w:rPr>
  </w:style>
  <w:style w:type="paragraph" w:styleId="Heading1">
    <w:name w:val="heading 1"/>
    <w:basedOn w:val="Normal"/>
    <w:next w:val="Normal"/>
    <w:link w:val="Heading1Char"/>
    <w:uiPriority w:val="9"/>
    <w:qFormat/>
    <w:rsid w:val="00EC6B21"/>
    <w:pPr>
      <w:keepNext/>
      <w:keepLines/>
      <w:pBdr>
        <w:top w:val="dotted" w:sz="4" w:space="1" w:color="C00000"/>
      </w:pBdr>
      <w:spacing w:before="180" w:line="240" w:lineRule="auto"/>
      <w:outlineLvl w:val="0"/>
    </w:pPr>
    <w:rPr>
      <w:rFonts w:asciiTheme="majorHAnsi" w:eastAsiaTheme="majorEastAsia" w:hAnsiTheme="majorHAnsi" w:cstheme="majorBidi"/>
      <w:color w:val="800000"/>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557E49"/>
    <w:pPr>
      <w:keepNext/>
      <w:keepLines/>
      <w:spacing w:before="180" w:after="180"/>
      <w:outlineLvl w:val="1"/>
    </w:pPr>
    <w:rPr>
      <w:rFonts w:asciiTheme="majorHAnsi" w:eastAsiaTheme="majorEastAsia" w:hAnsiTheme="majorHAnsi" w:cstheme="majorBidi"/>
      <w:color w:val="800000"/>
      <w:sz w:val="26"/>
      <w:szCs w:val="26"/>
    </w:rPr>
  </w:style>
  <w:style w:type="paragraph" w:styleId="Heading3">
    <w:name w:val="heading 3"/>
    <w:basedOn w:val="Normal"/>
    <w:next w:val="Normal"/>
    <w:link w:val="Heading3Char"/>
    <w:uiPriority w:val="9"/>
    <w:unhideWhenUsed/>
    <w:qFormat/>
    <w:rsid w:val="00557E49"/>
    <w:pPr>
      <w:outlineLvl w:val="2"/>
    </w:pPr>
    <w:rPr>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EF1"/>
    <w:pPr>
      <w:spacing w:after="240"/>
      <w:contextualSpacing/>
    </w:pPr>
    <w:rPr>
      <w:rFonts w:ascii="Cambria" w:eastAsiaTheme="majorEastAsia" w:hAnsi="Cambria" w:cstheme="majorBidi"/>
      <w:color w:val="800000"/>
      <w:spacing w:val="-10"/>
      <w:sz w:val="36"/>
      <w:szCs w:val="36"/>
    </w:rPr>
  </w:style>
  <w:style w:type="character" w:customStyle="1" w:styleId="TitleChar">
    <w:name w:val="Title Char"/>
    <w:basedOn w:val="DefaultParagraphFont"/>
    <w:link w:val="Title"/>
    <w:uiPriority w:val="10"/>
    <w:rsid w:val="00F63EF1"/>
    <w:rPr>
      <w:rFonts w:ascii="Cambria" w:eastAsiaTheme="majorEastAsia" w:hAnsi="Cambria" w:cstheme="majorBidi"/>
      <w:color w:val="800000"/>
      <w:spacing w:val="-10"/>
      <w:kern w:val="28"/>
      <w:sz w:val="36"/>
      <w:szCs w:val="36"/>
    </w:rPr>
  </w:style>
  <w:style w:type="paragraph" w:customStyle="1" w:styleId="Byline">
    <w:name w:val="Byline"/>
    <w:basedOn w:val="Normal"/>
    <w:link w:val="BylineChar"/>
    <w:qFormat/>
    <w:rsid w:val="00B25165"/>
    <w:pPr>
      <w:spacing w:after="180"/>
    </w:pPr>
    <w:rPr>
      <w:rFonts w:ascii="Cambria" w:hAnsi="Cambria"/>
      <w:i/>
    </w:rPr>
  </w:style>
  <w:style w:type="character" w:customStyle="1" w:styleId="BylineChar">
    <w:name w:val="Byline Char"/>
    <w:basedOn w:val="DefaultParagraphFont"/>
    <w:link w:val="Byline"/>
    <w:rsid w:val="00B25165"/>
    <w:rPr>
      <w:rFonts w:ascii="Cambria" w:hAnsi="Cambria"/>
      <w:i/>
    </w:rPr>
  </w:style>
  <w:style w:type="paragraph" w:styleId="Subtitle">
    <w:name w:val="Subtitle"/>
    <w:basedOn w:val="Normal"/>
    <w:next w:val="Normal"/>
    <w:link w:val="SubtitleChar"/>
    <w:uiPriority w:val="11"/>
    <w:qFormat/>
    <w:rsid w:val="00B25165"/>
    <w:rPr>
      <w:rFonts w:asciiTheme="majorHAnsi" w:hAnsiTheme="majorHAnsi"/>
      <w:bCs/>
      <w:sz w:val="28"/>
      <w:szCs w:val="28"/>
    </w:rPr>
  </w:style>
  <w:style w:type="character" w:customStyle="1" w:styleId="SubtitleChar">
    <w:name w:val="Subtitle Char"/>
    <w:basedOn w:val="DefaultParagraphFont"/>
    <w:link w:val="Subtitle"/>
    <w:uiPriority w:val="11"/>
    <w:rsid w:val="00B25165"/>
    <w:rPr>
      <w:rFonts w:asciiTheme="majorHAnsi" w:hAnsiTheme="majorHAnsi"/>
      <w:bCs/>
      <w:sz w:val="28"/>
      <w:szCs w:val="28"/>
    </w:rPr>
  </w:style>
  <w:style w:type="paragraph" w:styleId="EnvelopeAddress">
    <w:name w:val="envelope address"/>
    <w:basedOn w:val="Normal"/>
    <w:uiPriority w:val="99"/>
    <w:semiHidden/>
    <w:unhideWhenUsed/>
    <w:rsid w:val="00C844BC"/>
    <w:pPr>
      <w:framePr w:w="7920" w:h="1980" w:hRule="exact" w:hSpace="180" w:wrap="auto" w:hAnchor="page" w:xAlign="center" w:yAlign="bottom"/>
      <w:spacing w:after="0"/>
      <w:ind w:left="2880"/>
    </w:pPr>
    <w:rPr>
      <w:rFonts w:ascii="Cambria" w:eastAsiaTheme="majorEastAsia" w:hAnsi="Cambria" w:cstheme="majorBidi"/>
      <w:caps/>
      <w:sz w:val="28"/>
    </w:rPr>
  </w:style>
  <w:style w:type="paragraph" w:styleId="EnvelopeReturn">
    <w:name w:val="envelope return"/>
    <w:basedOn w:val="Normal"/>
    <w:uiPriority w:val="99"/>
    <w:semiHidden/>
    <w:unhideWhenUsed/>
    <w:rsid w:val="00C844BC"/>
    <w:pPr>
      <w:spacing w:after="0"/>
    </w:pPr>
    <w:rPr>
      <w:rFonts w:eastAsiaTheme="majorEastAsia" w:cstheme="majorBidi"/>
      <w:smallCaps/>
      <w:sz w:val="20"/>
    </w:rPr>
  </w:style>
  <w:style w:type="character" w:customStyle="1" w:styleId="Heading1Char">
    <w:name w:val="Heading 1 Char"/>
    <w:basedOn w:val="DefaultParagraphFont"/>
    <w:link w:val="Heading1"/>
    <w:uiPriority w:val="9"/>
    <w:rsid w:val="00EC6B21"/>
    <w:rPr>
      <w:rFonts w:asciiTheme="majorHAnsi" w:eastAsiaTheme="majorEastAsia" w:hAnsiTheme="majorHAnsi" w:cstheme="majorBidi"/>
      <w:color w:val="800000"/>
      <w:kern w:val="28"/>
      <w:sz w:val="32"/>
      <w:szCs w:val="32"/>
      <w14:shadow w14:blurRad="50800" w14:dist="38100" w14:dir="2700000" w14:sx="100000" w14:sy="100000" w14:kx="0" w14:ky="0" w14:algn="tl">
        <w14:srgbClr w14:val="000000">
          <w14:alpha w14:val="60000"/>
        </w14:srgbClr>
      </w14:shadow>
      <w14:ligatures w14:val="standard"/>
      <w14:cntxtAlts/>
    </w:rPr>
  </w:style>
  <w:style w:type="paragraph" w:customStyle="1" w:styleId="Caption1">
    <w:name w:val="Caption1"/>
    <w:basedOn w:val="Normal"/>
    <w:link w:val="Caption1Char"/>
    <w:qFormat/>
    <w:rsid w:val="00ED32F7"/>
    <w:rPr>
      <w:rFonts w:ascii="Cambria" w:hAnsi="Cambria"/>
      <w:i/>
      <w:sz w:val="18"/>
      <w:szCs w:val="18"/>
    </w:rPr>
  </w:style>
  <w:style w:type="character" w:customStyle="1" w:styleId="Caption1Char">
    <w:name w:val="Caption1 Char"/>
    <w:basedOn w:val="DefaultParagraphFont"/>
    <w:link w:val="Caption1"/>
    <w:rsid w:val="00ED32F7"/>
    <w:rPr>
      <w:rFonts w:ascii="Cambria" w:hAnsi="Cambria"/>
      <w:i/>
      <w:sz w:val="18"/>
      <w:szCs w:val="18"/>
    </w:rPr>
  </w:style>
  <w:style w:type="paragraph" w:customStyle="1" w:styleId="Supertitle">
    <w:name w:val="Supertitle"/>
    <w:basedOn w:val="Normal"/>
    <w:qFormat/>
    <w:rsid w:val="00643AE6"/>
    <w:pPr>
      <w:pBdr>
        <w:bottom w:val="dotted" w:sz="4" w:space="1" w:color="800000"/>
      </w:pBdr>
    </w:pPr>
    <w:rPr>
      <w:rFonts w:ascii="Cambria" w:hAnsi="Cambria"/>
      <w:i/>
      <w:color w:val="800000"/>
    </w:rPr>
  </w:style>
  <w:style w:type="character" w:customStyle="1" w:styleId="Heading2Char">
    <w:name w:val="Heading 2 Char"/>
    <w:basedOn w:val="DefaultParagraphFont"/>
    <w:link w:val="Heading2"/>
    <w:uiPriority w:val="9"/>
    <w:rsid w:val="00557E49"/>
    <w:rPr>
      <w:rFonts w:asciiTheme="majorHAnsi" w:eastAsiaTheme="majorEastAsia" w:hAnsiTheme="majorHAnsi" w:cstheme="majorBidi"/>
      <w:color w:val="800000"/>
      <w:kern w:val="28"/>
      <w:sz w:val="26"/>
      <w:szCs w:val="26"/>
      <w14:ligatures w14:val="standard"/>
      <w14:cntxtAlts/>
    </w:rPr>
  </w:style>
  <w:style w:type="character" w:styleId="Hyperlink">
    <w:name w:val="Hyperlink"/>
    <w:basedOn w:val="DefaultParagraphFont"/>
    <w:uiPriority w:val="99"/>
    <w:unhideWhenUsed/>
    <w:rsid w:val="007543C3"/>
    <w:rPr>
      <w:color w:val="0563C1" w:themeColor="hyperlink"/>
      <w:u w:val="single"/>
    </w:rPr>
  </w:style>
  <w:style w:type="character" w:customStyle="1" w:styleId="Heading3Char">
    <w:name w:val="Heading 3 Char"/>
    <w:basedOn w:val="DefaultParagraphFont"/>
    <w:link w:val="Heading3"/>
    <w:uiPriority w:val="9"/>
    <w:rsid w:val="00557E49"/>
    <w:rPr>
      <w:rFonts w:ascii="Calibri" w:hAnsi="Calibri" w:cs="Times New Roman"/>
      <w:b/>
      <w:bCs/>
      <w:color w:val="C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11739">
      <w:bodyDiv w:val="1"/>
      <w:marLeft w:val="0"/>
      <w:marRight w:val="0"/>
      <w:marTop w:val="0"/>
      <w:marBottom w:val="0"/>
      <w:divBdr>
        <w:top w:val="none" w:sz="0" w:space="0" w:color="auto"/>
        <w:left w:val="none" w:sz="0" w:space="0" w:color="auto"/>
        <w:bottom w:val="none" w:sz="0" w:space="0" w:color="auto"/>
        <w:right w:val="none" w:sz="0" w:space="0" w:color="auto"/>
      </w:divBdr>
    </w:div>
    <w:div w:id="978075864">
      <w:bodyDiv w:val="1"/>
      <w:marLeft w:val="0"/>
      <w:marRight w:val="0"/>
      <w:marTop w:val="0"/>
      <w:marBottom w:val="0"/>
      <w:divBdr>
        <w:top w:val="none" w:sz="0" w:space="0" w:color="auto"/>
        <w:left w:val="none" w:sz="0" w:space="0" w:color="auto"/>
        <w:bottom w:val="none" w:sz="0" w:space="0" w:color="auto"/>
        <w:right w:val="none" w:sz="0" w:space="0" w:color="auto"/>
      </w:divBdr>
    </w:div>
    <w:div w:id="1135754366">
      <w:bodyDiv w:val="1"/>
      <w:marLeft w:val="0"/>
      <w:marRight w:val="0"/>
      <w:marTop w:val="0"/>
      <w:marBottom w:val="0"/>
      <w:divBdr>
        <w:top w:val="none" w:sz="0" w:space="0" w:color="auto"/>
        <w:left w:val="none" w:sz="0" w:space="0" w:color="auto"/>
        <w:bottom w:val="none" w:sz="0" w:space="0" w:color="auto"/>
        <w:right w:val="none" w:sz="0" w:space="0" w:color="auto"/>
      </w:divBdr>
    </w:div>
    <w:div w:id="1370839043">
      <w:bodyDiv w:val="1"/>
      <w:marLeft w:val="0"/>
      <w:marRight w:val="0"/>
      <w:marTop w:val="0"/>
      <w:marBottom w:val="0"/>
      <w:divBdr>
        <w:top w:val="none" w:sz="0" w:space="0" w:color="auto"/>
        <w:left w:val="none" w:sz="0" w:space="0" w:color="auto"/>
        <w:bottom w:val="none" w:sz="0" w:space="0" w:color="auto"/>
        <w:right w:val="none" w:sz="0" w:space="0" w:color="auto"/>
      </w:divBdr>
    </w:div>
    <w:div w:id="1580795056">
      <w:bodyDiv w:val="1"/>
      <w:marLeft w:val="0"/>
      <w:marRight w:val="0"/>
      <w:marTop w:val="0"/>
      <w:marBottom w:val="0"/>
      <w:divBdr>
        <w:top w:val="none" w:sz="0" w:space="0" w:color="auto"/>
        <w:left w:val="none" w:sz="0" w:space="0" w:color="auto"/>
        <w:bottom w:val="none" w:sz="0" w:space="0" w:color="auto"/>
        <w:right w:val="none" w:sz="0" w:space="0" w:color="auto"/>
      </w:divBdr>
    </w:div>
    <w:div w:id="1588002824">
      <w:bodyDiv w:val="1"/>
      <w:marLeft w:val="0"/>
      <w:marRight w:val="0"/>
      <w:marTop w:val="0"/>
      <w:marBottom w:val="0"/>
      <w:divBdr>
        <w:top w:val="none" w:sz="0" w:space="0" w:color="auto"/>
        <w:left w:val="none" w:sz="0" w:space="0" w:color="auto"/>
        <w:bottom w:val="none" w:sz="0" w:space="0" w:color="auto"/>
        <w:right w:val="none" w:sz="0" w:space="0" w:color="auto"/>
      </w:divBdr>
    </w:div>
    <w:div w:id="19671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Nicholson</dc:creator>
  <cp:keywords/>
  <dc:description/>
  <cp:lastModifiedBy>Skip Nicholson</cp:lastModifiedBy>
  <cp:revision>3</cp:revision>
  <dcterms:created xsi:type="dcterms:W3CDTF">2016-06-15T05:12:00Z</dcterms:created>
  <dcterms:modified xsi:type="dcterms:W3CDTF">2016-06-15T19:47:00Z</dcterms:modified>
</cp:coreProperties>
</file>